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06670"/>
          <w:shd w:val="clear" w:color="auto" w:fill="ffffff"/>
          <w:rtl w:val="0"/>
          <w14:textFill>
            <w14:solidFill>
              <w14:srgbClr w14:val="616770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Zasady oraz procedury 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ce od 4.05.2020(poniedzia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ek) na kortach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 w Nadarzynie przy ulicy Malwy 2</w:t>
      </w:r>
    </w:p>
    <w:p>
      <w:pPr>
        <w:pStyle w:val="Domyślne"/>
        <w:bidi w:val="0"/>
        <w:spacing w:before="0"/>
        <w:ind w:left="0" w:right="0" w:firstLine="0"/>
        <w:jc w:val="center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zku z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wynajmowania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tenisowych oraz prowadzenia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tenisowych przedstawiamy zasady 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ce na Naszych kortach od 4.05.2020. Wytyczne oparte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dw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ch  dokumentach: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-Rozporz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dzenie Rady Ministr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z dn.2.05.2020 r.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-Wytyczne Polskiego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zku Tenisowego z dn.27.04.2020.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Linki do wymienionych dokument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w: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- rozporz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dzenie RM z dn. 2.05.2020: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"https://dziennikustaw.gov.pl/D2020000079201.pdf?fbclid=IwAR0Thg-hyNVw06MU3HQKoGkFphYZ3aJVWP_WgoGSGvHLgNTSO-BO9dDv8hA"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t>http://dziennikustaw.gov.pl/D2020000079201.pdf</w:t>
      </w:r>
      <w:r>
        <w:rPr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end" w:fldLock="0"/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wytyczne PZT z dn. 27.04.2020: 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"https://www.pzt.pl/3_154_9878/nowe-procedury-dla-obiektow-tenisowych.aspx?fbclid=IwAR2BtTJ7_yH3Hs9JJKi9BoXwxhFhn9u-KzwM-BprxM16hd2Yv5z5VknTYwE"</w:instrTex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t>https://www.pzt.pl/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t>…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t>/nowe-procedury-dla-obiektow-tenisowych</w:t>
      </w:r>
      <w:r>
        <w:rPr>
          <w:rStyle w:val="Hyperlink.0"/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t>…</w:t>
      </w:r>
      <w:r>
        <w:rPr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end" w:fldLock="0"/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385898"/>
          <w:sz w:val="28"/>
          <w:szCs w:val="28"/>
          <w:shd w:val="clear" w:color="auto" w:fill="ffffff"/>
          <w:rtl w:val="0"/>
          <w14:textFill>
            <w14:solidFill>
              <w14:srgbClr w14:val="385898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PROCEDURY I ZASADY KORZYSTANIA Z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zalecamy rezerwacj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1C1E21"/>
            </w14:solidFill>
          </w14:textFill>
        </w:rPr>
        <w:t>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online, mailowo lub telefonicznie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rekomendujemy dokonywanie 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atno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kart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lub przelewem przed gr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(jeste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w trakcie podpisywania umowy je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eli chodzi o czytnik kart),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zuje dezynfekcja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 dla wchodz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cych i wychodz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cych z obiektu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ma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korzystania z szatni i prysznic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(jedynie z WC)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rekomendujemy przychodzenie w stroju sportowym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celu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kszenia bezpiecze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uruchomili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drugi parking za kortami w celu rotacji os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 korzystaj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cych z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w.Jedne drzwi przeznaczone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 wchodzenia na kort, drugie do wyj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 z niego,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zuje zas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anianie twarzy (nos i usta) maseczk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lub przy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bic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od momentu wej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 na teren obiektu do momentu dotarcia na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ma 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zku noszenia maseczki przez graczy i trener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podczas gry/zaj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( rozporz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dzenie RM z dn. 20.05.2020 par. 18.1 pkt. 2 pkt.10))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 zako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czeniu gry/zaj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ęć –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przed wyj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ciem z kortu nale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ponownie zas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C1E21"/>
            </w14:solidFill>
          </w14:textFill>
        </w:rPr>
        <w:t>oni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twarz maseczk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/przy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bic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podczas gry/zaj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jednym korcie mog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przebywa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tym samym czasie nie 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cej 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4 osoby i 1 trener korzystaj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ce z tego kortu, z wy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czeniem jego obs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ugi ( rozporz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dzenie RM z dn. 20.05.2020 par. 8.1 pkt. 2 lit. b)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dym korcie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udost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pnione dozowniki do dezynfekcji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oraz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czniki papierowe,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kosze treningowe z pi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kami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udost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pniane jedynie trenerom TENES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ki do koszyk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treningowych nale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zbiera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przy 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yciu tub lub w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kawicach ochronnych - tuby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dezynfekowane co godzin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przez trener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lub obs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obiektu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dym korcie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kszone zosta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odleg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pomi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dzy krzes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ami i stolikami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–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prosimy o nieprzestawianie mebli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rezerwacje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i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 trwaj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50 minut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–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dodatkowy czas zostanie przeznaczony przez obs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obiektu na dezynfekcj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mebli i sprz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uprzejmie prosimy o punktualno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 op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ugi przed rozpocz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ciem gry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konieczna jest rezygnacja z procedury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„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podawania sobie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”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 grze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 zako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czeniu gry rekomendujemy niezw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oczne opuszczenie obiektu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po wcze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niejszym zdezynfekowaniu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•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prosimy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by rodzice dzieci uczestnicz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cych w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ciach nie przebywali na korcie podczas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ęć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sugerujemy gr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bez zmiany stron kortu (ka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 gracz na swojej po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owie kortu)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Bardzo prosimy o stosowanie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 wymienionych zasad. Zdrowie i bezpiecze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 Naszych klient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jest w tym momencie najwa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niejsze. Przed ponownym otwarciem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zosta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one zdezynfekowane oraz  przewietrzone. Podczas trwania pandemii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dziemy jak najcz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ciej korzysta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kortu otwartego. Nasze hale tak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spe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wytyczne zawarte w powy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ej wymienionych dokumentach z powodu otwieranych bok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i dodatkowego przewietrzenia podczas gry. 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1C1E21"/>
            </w14:solidFill>
          </w14:textFill>
        </w:rPr>
        <w:t>dleg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mi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dzy kortami z du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rezerw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krytyczne warto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rekomendowane przez PZT</w:t>
      </w: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 tych trudnych czasach bardzo liczymy na Wasze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zrozumienie, akceptacj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 przestrzeganie powy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szych ustale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oraz ewentualnych wytycznych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 ekipy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skiSports, do zobaczenia na korcie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…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Kreski">
    <w:name w:val="Kreski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